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85376" w14:textId="3BC2E9F2" w:rsidR="008A6A89" w:rsidRPr="008A6A89" w:rsidRDefault="008A6A89" w:rsidP="008A6A89">
      <w:pPr>
        <w:jc w:val="center"/>
        <w:rPr>
          <w:rFonts w:ascii="Arial Narrow" w:hAnsi="Arial Narrow"/>
          <w:sz w:val="32"/>
          <w:szCs w:val="32"/>
          <w:lang w:val="pl-PL"/>
        </w:rPr>
      </w:pPr>
      <w:bookmarkStart w:id="0" w:name="_Hlk30494797"/>
      <w:r w:rsidRPr="008A6A89">
        <w:rPr>
          <w:rFonts w:ascii="Arial Narrow" w:hAnsi="Arial Narrow"/>
          <w:sz w:val="32"/>
          <w:szCs w:val="32"/>
          <w:lang w:val="pl-PL"/>
        </w:rPr>
        <w:t>D</w:t>
      </w:r>
      <w:r>
        <w:rPr>
          <w:rFonts w:ascii="Arial Narrow" w:hAnsi="Arial Narrow"/>
          <w:sz w:val="32"/>
          <w:szCs w:val="32"/>
          <w:lang w:val="pl-PL"/>
        </w:rPr>
        <w:t>ieta roślinna</w:t>
      </w:r>
    </w:p>
    <w:p w14:paraId="36F33A20" w14:textId="77777777" w:rsidR="008A6A89" w:rsidRPr="008A6A89" w:rsidRDefault="008A6A89" w:rsidP="008A6A89">
      <w:pPr>
        <w:ind w:firstLine="708"/>
        <w:jc w:val="center"/>
        <w:rPr>
          <w:rFonts w:ascii="Arial Narrow" w:hAnsi="Arial Narrow"/>
          <w:b/>
          <w:bCs/>
          <w:sz w:val="32"/>
          <w:szCs w:val="32"/>
          <w:lang w:val="pl-PL"/>
        </w:rPr>
      </w:pPr>
    </w:p>
    <w:p w14:paraId="23069EED" w14:textId="5A3961C0" w:rsidR="008A6A89" w:rsidRDefault="008A6A89" w:rsidP="008A6A89">
      <w:pPr>
        <w:jc w:val="both"/>
        <w:rPr>
          <w:rFonts w:ascii="Arial Narrow" w:hAnsi="Arial Narrow"/>
          <w:szCs w:val="22"/>
          <w:lang w:val="pl-PL"/>
        </w:rPr>
      </w:pPr>
      <w:r w:rsidRPr="008A6A89">
        <w:rPr>
          <w:rFonts w:ascii="Arial Narrow" w:hAnsi="Arial Narrow"/>
          <w:szCs w:val="22"/>
          <w:lang w:val="pl-PL"/>
        </w:rPr>
        <w:t>W ostatnich latach dużą popularność zyskały diety roślinne i mimo ich dużej różnorodności wszystkie łączy jedno – eliminacja mięsa z diety. Dla niektórych jest to kontrowersyjny i budzący obawy sposób żywienia, a dla innych codzienność i styl życia. Bardzo często można się spotkać z pytaniami, czy dieta roślinna nie jest dietą niedoborową, czy nie może mieć negatywn</w:t>
      </w:r>
      <w:r>
        <w:rPr>
          <w:rFonts w:ascii="Arial Narrow" w:hAnsi="Arial Narrow"/>
          <w:szCs w:val="22"/>
          <w:lang w:val="pl-PL"/>
        </w:rPr>
        <w:t>ego</w:t>
      </w:r>
      <w:r w:rsidRPr="008A6A89">
        <w:rPr>
          <w:rFonts w:ascii="Arial Narrow" w:hAnsi="Arial Narrow"/>
          <w:szCs w:val="22"/>
          <w:lang w:val="pl-PL"/>
        </w:rPr>
        <w:t xml:space="preserve"> wpływ</w:t>
      </w:r>
      <w:r>
        <w:rPr>
          <w:rFonts w:ascii="Arial Narrow" w:hAnsi="Arial Narrow"/>
          <w:szCs w:val="22"/>
          <w:lang w:val="pl-PL"/>
        </w:rPr>
        <w:t>u</w:t>
      </w:r>
      <w:r w:rsidRPr="008A6A89">
        <w:rPr>
          <w:rFonts w:ascii="Arial Narrow" w:hAnsi="Arial Narrow"/>
          <w:szCs w:val="22"/>
          <w:lang w:val="pl-PL"/>
        </w:rPr>
        <w:t xml:space="preserve"> na nasze zdrowie? Prawdą jest, że dieta standardowa (czyli niewykluczająca mięsa i produktów odzwierzęcych) również może być niedoborowa i prowadzić do wielu schorzeń i</w:t>
      </w:r>
      <w:r>
        <w:rPr>
          <w:rFonts w:ascii="Arial Narrow" w:hAnsi="Arial Narrow"/>
          <w:szCs w:val="22"/>
          <w:lang w:val="pl-PL"/>
        </w:rPr>
        <w:t> </w:t>
      </w:r>
      <w:r w:rsidRPr="008A6A89">
        <w:rPr>
          <w:rFonts w:ascii="Arial Narrow" w:hAnsi="Arial Narrow"/>
          <w:szCs w:val="22"/>
          <w:lang w:val="pl-PL"/>
        </w:rPr>
        <w:t>zaburzeń. Każda nieprawidłowo zbilansowana dieta będzie prowadzić do niedoborów w organizmie niezależnie od tego</w:t>
      </w:r>
      <w:r>
        <w:rPr>
          <w:rFonts w:ascii="Arial Narrow" w:hAnsi="Arial Narrow"/>
          <w:szCs w:val="22"/>
          <w:lang w:val="pl-PL"/>
        </w:rPr>
        <w:t>,</w:t>
      </w:r>
      <w:r w:rsidRPr="008A6A89">
        <w:rPr>
          <w:rFonts w:ascii="Arial Narrow" w:hAnsi="Arial Narrow"/>
          <w:szCs w:val="22"/>
          <w:lang w:val="pl-PL"/>
        </w:rPr>
        <w:t xml:space="preserve"> czy uwzględniamy w jadłospisie mięso, czy też nie. Warto jednak wziąć pod uwagę wszystkie prozdrowotne korzyści stosowania diety roślinnej.  </w:t>
      </w:r>
    </w:p>
    <w:p w14:paraId="553C20F6" w14:textId="77777777" w:rsidR="008A6A89" w:rsidRPr="008A6A89" w:rsidRDefault="008A6A89" w:rsidP="008A6A89">
      <w:pPr>
        <w:ind w:firstLine="708"/>
        <w:jc w:val="both"/>
        <w:rPr>
          <w:rFonts w:ascii="Arial Narrow" w:hAnsi="Arial Narrow"/>
          <w:szCs w:val="22"/>
          <w:lang w:val="pl-PL"/>
        </w:rPr>
      </w:pPr>
    </w:p>
    <w:p w14:paraId="500BA165" w14:textId="6667DBFD" w:rsidR="008A6A89" w:rsidRDefault="008A6A89" w:rsidP="008A6A89">
      <w:pPr>
        <w:jc w:val="both"/>
        <w:rPr>
          <w:rFonts w:ascii="Arial Narrow" w:hAnsi="Arial Narrow"/>
          <w:szCs w:val="22"/>
          <w:lang w:val="pl-PL"/>
        </w:rPr>
      </w:pPr>
      <w:r w:rsidRPr="008A6A89">
        <w:rPr>
          <w:rFonts w:ascii="Arial Narrow" w:hAnsi="Arial Narrow"/>
          <w:szCs w:val="22"/>
          <w:lang w:val="pl-PL"/>
        </w:rPr>
        <w:t xml:space="preserve">Prawidłowo zbilansowana dieta roślinna może przynieść wiele zdrowotnych korzyści, np. zmniejszyć ryzyko rozwoju chorób układu sercowo-naczyniowego lub zmniejszyć ryzyko wystąpienia otyłości. Zalety zdrowotne diety roślinnej wynikają w głównej mierze z poniższych aspektów: </w:t>
      </w:r>
    </w:p>
    <w:p w14:paraId="0F1D472B" w14:textId="77777777" w:rsidR="008A6A89" w:rsidRPr="008A6A89" w:rsidRDefault="008A6A89" w:rsidP="008A6A89">
      <w:pPr>
        <w:jc w:val="both"/>
        <w:rPr>
          <w:rFonts w:ascii="Arial Narrow" w:hAnsi="Arial Narrow"/>
          <w:szCs w:val="22"/>
          <w:lang w:val="pl-PL"/>
        </w:rPr>
      </w:pPr>
    </w:p>
    <w:p w14:paraId="693B7B7A" w14:textId="00B1EB50" w:rsidR="008A6A89" w:rsidRPr="008A6A89" w:rsidRDefault="008A6A89" w:rsidP="008A6A89">
      <w:pPr>
        <w:pStyle w:val="Akapitzlist"/>
        <w:numPr>
          <w:ilvl w:val="0"/>
          <w:numId w:val="3"/>
        </w:numPr>
        <w:spacing w:after="160" w:line="259" w:lineRule="auto"/>
        <w:jc w:val="both"/>
        <w:rPr>
          <w:rFonts w:ascii="Arial Narrow" w:hAnsi="Arial Narrow"/>
          <w:szCs w:val="22"/>
          <w:lang w:val="pl-PL"/>
        </w:rPr>
      </w:pPr>
      <w:r w:rsidRPr="008A6A89">
        <w:rPr>
          <w:rFonts w:ascii="Arial Narrow" w:hAnsi="Arial Narrow"/>
          <w:b/>
          <w:bCs/>
          <w:szCs w:val="22"/>
          <w:lang w:val="pl-PL"/>
        </w:rPr>
        <w:t>Niska wartość energetyczna i wysoka gęstość odżywcza diety</w:t>
      </w:r>
      <w:r w:rsidRPr="008A6A89">
        <w:rPr>
          <w:rFonts w:ascii="Arial Narrow" w:hAnsi="Arial Narrow"/>
          <w:szCs w:val="22"/>
          <w:lang w:val="pl-PL"/>
        </w:rPr>
        <w:t xml:space="preserve"> – dieta roślinna (wszystkie jej odmiany), jak sama nazwa wskazuje, zakłada duży udział warzyw i owoców w codziennym jadłospisie. Oprócz tego, że są one wspaniałym źródłem witamin i składników mineralnych, to jednocześnie zwiększają objętość posiłków, co w tym przypadku zwykle idzie w parze ze zmniejszeniem kaloryczności całodziennej racji pokarmowej. Ma to korzystny wpływ na utrzymanie lub też osiągnięcie prawidłowej masy ciała, a także zmniejsza ryzyko wystąpienia niedoborów niektórych witamin i składników mineralnych. Oczywiście część warzyw i owoców cechuje się wyższą wartością kaloryczną (np. nasiona roślin strączkowych lub winogrona), ale zwykle ich kaloryczność nie jest zbyt wysoka. Warto też pamiętać, że produkty, które zostały przez nas wyeliminowane (mięso i produkty pochodzenia zwierzęcego) również były źródłem cennych składników odżywczych (np. białka, wapnia) i należy zadbać o ich prawidłową podaż z produktów roślinnych np. </w:t>
      </w:r>
      <w:proofErr w:type="spellStart"/>
      <w:r w:rsidRPr="008A6A89">
        <w:rPr>
          <w:rFonts w:ascii="Arial Narrow" w:hAnsi="Arial Narrow"/>
          <w:szCs w:val="22"/>
          <w:lang w:val="pl-PL"/>
        </w:rPr>
        <w:t>tofu</w:t>
      </w:r>
      <w:proofErr w:type="spellEnd"/>
      <w:r w:rsidRPr="008A6A89">
        <w:rPr>
          <w:rFonts w:ascii="Arial Narrow" w:hAnsi="Arial Narrow"/>
          <w:szCs w:val="22"/>
          <w:lang w:val="pl-PL"/>
        </w:rPr>
        <w:t xml:space="preserve">, nasion roślin strączkowych czy wzbogaconych napojów roślinnych. Dodatkowo warzywa strączkowe, które są nieodłącznym elementem prawidłowej diety roślinnej mają korzystny wpływ na profil lipidowy.  </w:t>
      </w:r>
    </w:p>
    <w:p w14:paraId="29FCE4B8" w14:textId="73F20502" w:rsidR="008A6A89" w:rsidRPr="008A6A89" w:rsidRDefault="008A6A89" w:rsidP="008A6A89">
      <w:pPr>
        <w:pStyle w:val="Akapitzlist"/>
        <w:numPr>
          <w:ilvl w:val="0"/>
          <w:numId w:val="3"/>
        </w:numPr>
        <w:spacing w:after="160" w:line="259" w:lineRule="auto"/>
        <w:jc w:val="both"/>
        <w:rPr>
          <w:rFonts w:ascii="Arial Narrow" w:hAnsi="Arial Narrow"/>
          <w:szCs w:val="22"/>
          <w:lang w:val="pl-PL"/>
        </w:rPr>
      </w:pPr>
      <w:r w:rsidRPr="008A6A89">
        <w:rPr>
          <w:rFonts w:ascii="Arial Narrow" w:hAnsi="Arial Narrow"/>
          <w:b/>
          <w:bCs/>
          <w:szCs w:val="22"/>
          <w:lang w:val="pl-PL"/>
        </w:rPr>
        <w:t>Ograniczona zawartość tłuszczu i nasyconych kwasów tłuszczowych oraz zwiększony udział NNKT</w:t>
      </w:r>
      <w:r w:rsidRPr="008A6A89">
        <w:rPr>
          <w:rFonts w:ascii="Arial Narrow" w:hAnsi="Arial Narrow"/>
          <w:szCs w:val="22"/>
          <w:lang w:val="pl-PL"/>
        </w:rPr>
        <w:t xml:space="preserve"> (nienasyconych kwasów tłuszczowych) – najczęściej głównym źródłem tłuszczu i nasyconych kwasów tłuszczowych w diecie jest mięso oraz przekąski </w:t>
      </w:r>
      <w:r w:rsidR="001241A4">
        <w:rPr>
          <w:rFonts w:ascii="Arial Narrow" w:hAnsi="Arial Narrow"/>
          <w:szCs w:val="22"/>
          <w:lang w:val="pl-PL"/>
        </w:rPr>
        <w:t>(</w:t>
      </w:r>
      <w:r w:rsidRPr="008A6A89">
        <w:rPr>
          <w:rFonts w:ascii="Arial Narrow" w:hAnsi="Arial Narrow"/>
          <w:szCs w:val="22"/>
          <w:lang w:val="pl-PL"/>
        </w:rPr>
        <w:t>np. słodycze czy produkty typu fast food), znacznie rzadziej oleje roślinne i orzechy. Dieta roślinna z założenia prowadzi do eliminacji pierwszej grupy (mięsa), a</w:t>
      </w:r>
      <w:r>
        <w:rPr>
          <w:rFonts w:ascii="Arial Narrow" w:hAnsi="Arial Narrow"/>
          <w:szCs w:val="22"/>
          <w:lang w:val="pl-PL"/>
        </w:rPr>
        <w:t> </w:t>
      </w:r>
      <w:r w:rsidRPr="008A6A89">
        <w:rPr>
          <w:rFonts w:ascii="Arial Narrow" w:hAnsi="Arial Narrow"/>
          <w:szCs w:val="22"/>
          <w:lang w:val="pl-PL"/>
        </w:rPr>
        <w:t xml:space="preserve">przynajmniej do częściowej eliminacji lub zamiany przekąsek na inne odpowiedniki np. orzechy czy nasiona. Są one wraz z olejami roślinnymi zdecydowanie lepszym wyborem jeśli chodzi o źródło tłuszczu w diecie, głównie dzięki temu, że są źródłem NNKT niezbędnych do prawidłowej pracy układu krwionośnego, serca oraz mózgu. </w:t>
      </w:r>
    </w:p>
    <w:p w14:paraId="65DF21CF" w14:textId="185AD9D8" w:rsidR="008A6A89" w:rsidRPr="008A6A89" w:rsidRDefault="008A6A89" w:rsidP="008A6A89">
      <w:pPr>
        <w:pStyle w:val="Akapitzlist"/>
        <w:numPr>
          <w:ilvl w:val="0"/>
          <w:numId w:val="3"/>
        </w:numPr>
        <w:spacing w:after="160" w:line="259" w:lineRule="auto"/>
        <w:jc w:val="both"/>
        <w:rPr>
          <w:rFonts w:ascii="Arial Narrow" w:hAnsi="Arial Narrow"/>
          <w:szCs w:val="22"/>
          <w:lang w:val="pl-PL"/>
        </w:rPr>
      </w:pPr>
      <w:r w:rsidRPr="008A6A89">
        <w:rPr>
          <w:rFonts w:ascii="Arial Narrow" w:hAnsi="Arial Narrow"/>
          <w:b/>
          <w:bCs/>
          <w:szCs w:val="22"/>
          <w:lang w:val="pl-PL"/>
        </w:rPr>
        <w:t>Większa zawartość węglowodanów złożonych i błonnika pokarmowego</w:t>
      </w:r>
      <w:r w:rsidRPr="008A6A89">
        <w:rPr>
          <w:rFonts w:ascii="Arial Narrow" w:hAnsi="Arial Narrow"/>
          <w:szCs w:val="22"/>
          <w:lang w:val="pl-PL"/>
        </w:rPr>
        <w:t xml:space="preserve"> – węglowodany złożone możemy znaleźć m</w:t>
      </w:r>
      <w:r w:rsidR="001241A4">
        <w:rPr>
          <w:rFonts w:ascii="Arial Narrow" w:hAnsi="Arial Narrow"/>
          <w:szCs w:val="22"/>
          <w:lang w:val="pl-PL"/>
        </w:rPr>
        <w:t>.</w:t>
      </w:r>
      <w:r w:rsidRPr="008A6A89">
        <w:rPr>
          <w:rFonts w:ascii="Arial Narrow" w:hAnsi="Arial Narrow"/>
          <w:szCs w:val="22"/>
          <w:lang w:val="pl-PL"/>
        </w:rPr>
        <w:t xml:space="preserve">in. w kaszach oraz pieczywie pełnoziarnistym, które </w:t>
      </w:r>
      <w:r w:rsidR="001241A4">
        <w:rPr>
          <w:rFonts w:ascii="Arial Narrow" w:hAnsi="Arial Narrow"/>
          <w:szCs w:val="22"/>
          <w:lang w:val="pl-PL"/>
        </w:rPr>
        <w:t xml:space="preserve">są </w:t>
      </w:r>
      <w:r w:rsidRPr="008A6A89">
        <w:rPr>
          <w:rFonts w:ascii="Arial Narrow" w:hAnsi="Arial Narrow"/>
          <w:szCs w:val="22"/>
          <w:lang w:val="pl-PL"/>
        </w:rPr>
        <w:t xml:space="preserve">jednocześnie dobrym źródłem błonnika pokarmowego. Przy prawidłowej wartości energetycznej diety, zarówno zwiększony udział  </w:t>
      </w:r>
      <w:r w:rsidRPr="008A6A89">
        <w:rPr>
          <w:rFonts w:ascii="Arial Narrow" w:hAnsi="Arial Narrow"/>
          <w:szCs w:val="22"/>
          <w:lang w:val="pl-PL"/>
        </w:rPr>
        <w:lastRenderedPageBreak/>
        <w:t>węglowodanów złożonych, jak i błonnika pokarmowego zmniejsza ryzyko wystąpienia cukrzycy typu</w:t>
      </w:r>
      <w:r>
        <w:rPr>
          <w:rFonts w:ascii="Arial Narrow" w:hAnsi="Arial Narrow"/>
          <w:szCs w:val="22"/>
          <w:lang w:val="pl-PL"/>
        </w:rPr>
        <w:t xml:space="preserve"> </w:t>
      </w:r>
      <w:r w:rsidRPr="008A6A89">
        <w:rPr>
          <w:rFonts w:ascii="Arial Narrow" w:hAnsi="Arial Narrow"/>
          <w:szCs w:val="22"/>
          <w:lang w:val="pl-PL"/>
        </w:rPr>
        <w:t>drugiego oraz nadmiernej masy ciała. Dodatkowo produkty pełnoziarniste są źródłem m</w:t>
      </w:r>
      <w:r w:rsidR="001241A4">
        <w:rPr>
          <w:rFonts w:ascii="Arial Narrow" w:hAnsi="Arial Narrow"/>
          <w:szCs w:val="22"/>
          <w:lang w:val="pl-PL"/>
        </w:rPr>
        <w:t>.</w:t>
      </w:r>
      <w:r w:rsidRPr="008A6A89">
        <w:rPr>
          <w:rFonts w:ascii="Arial Narrow" w:hAnsi="Arial Narrow"/>
          <w:szCs w:val="22"/>
          <w:lang w:val="pl-PL"/>
        </w:rPr>
        <w:t>in. witamin z</w:t>
      </w:r>
      <w:r w:rsidR="001241A4">
        <w:rPr>
          <w:rFonts w:ascii="Arial Narrow" w:hAnsi="Arial Narrow"/>
          <w:szCs w:val="22"/>
          <w:lang w:val="pl-PL"/>
        </w:rPr>
        <w:t> </w:t>
      </w:r>
      <w:r w:rsidRPr="008A6A89">
        <w:rPr>
          <w:rFonts w:ascii="Arial Narrow" w:hAnsi="Arial Narrow"/>
          <w:szCs w:val="22"/>
          <w:lang w:val="pl-PL"/>
        </w:rPr>
        <w:t>grupy</w:t>
      </w:r>
      <w:r w:rsidR="001241A4">
        <w:rPr>
          <w:rFonts w:ascii="Arial Narrow" w:hAnsi="Arial Narrow"/>
          <w:szCs w:val="22"/>
          <w:lang w:val="pl-PL"/>
        </w:rPr>
        <w:t> </w:t>
      </w:r>
      <w:r w:rsidRPr="008A6A89">
        <w:rPr>
          <w:rFonts w:ascii="Arial Narrow" w:hAnsi="Arial Narrow"/>
          <w:szCs w:val="22"/>
          <w:lang w:val="pl-PL"/>
        </w:rPr>
        <w:t xml:space="preserve">B. </w:t>
      </w:r>
    </w:p>
    <w:p w14:paraId="3C210087" w14:textId="7063EECF" w:rsidR="008A6A89" w:rsidRPr="008A6A89" w:rsidRDefault="008A6A89" w:rsidP="008A6A89">
      <w:pPr>
        <w:jc w:val="both"/>
        <w:rPr>
          <w:rFonts w:ascii="Arial Narrow" w:hAnsi="Arial Narrow"/>
          <w:szCs w:val="22"/>
          <w:lang w:val="pl-PL"/>
        </w:rPr>
      </w:pPr>
      <w:r w:rsidRPr="008A6A89">
        <w:rPr>
          <w:rFonts w:ascii="Arial Narrow" w:hAnsi="Arial Narrow"/>
          <w:szCs w:val="22"/>
          <w:lang w:val="pl-PL"/>
        </w:rPr>
        <w:t>Prawidłowo zbilansowana oraz urozmaicona dieta roślinna może mieć bardzo korzystny wpływ na nasze zdrowie – zmniejsza ryzyko wystąpienia chorób układu sercowo-naczyniowego, poprawia profil lipidowy i zmniejsza ryzyko wystąpienia cukrzycy typu drugiego. Należy jednak pamiętać, że podstawą jest właśnie prawidłowe zbilansowanie jadłospisu oraz świadomość, że musimy zaspokoić zapotrzebowanie naszego organizmu na wszystkie mikro- i</w:t>
      </w:r>
      <w:r>
        <w:rPr>
          <w:rFonts w:ascii="Arial Narrow" w:hAnsi="Arial Narrow"/>
          <w:szCs w:val="22"/>
          <w:lang w:val="pl-PL"/>
        </w:rPr>
        <w:t> </w:t>
      </w:r>
      <w:r w:rsidRPr="008A6A89">
        <w:rPr>
          <w:rFonts w:ascii="Arial Narrow" w:hAnsi="Arial Narrow"/>
          <w:szCs w:val="22"/>
          <w:lang w:val="pl-PL"/>
        </w:rPr>
        <w:t>makroelementy (jeśli nie poprzez dietę, to dzięki prawidłowej suplementacji). Wraz ze wzrostem popularności diety roślinnej, wzrasta również asortyment produktów dostępnych w sklepach, co bardzo często ułatwia i przyspiesza przygotowywanie posiłków.</w:t>
      </w:r>
    </w:p>
    <w:p w14:paraId="591E1E52" w14:textId="77777777" w:rsidR="008A6A89" w:rsidRPr="008A6A89" w:rsidRDefault="008A6A89" w:rsidP="008A6A89">
      <w:pPr>
        <w:jc w:val="both"/>
        <w:rPr>
          <w:rFonts w:ascii="Arial Narrow" w:hAnsi="Arial Narrow"/>
          <w:szCs w:val="22"/>
          <w:lang w:val="pl-PL"/>
        </w:rPr>
      </w:pPr>
    </w:p>
    <w:bookmarkEnd w:id="0"/>
    <w:p w14:paraId="3BCDE696" w14:textId="77777777" w:rsidR="00EC61E4" w:rsidRPr="00B82FEC" w:rsidRDefault="00EC61E4" w:rsidP="00EC61E4">
      <w:pPr>
        <w:jc w:val="both"/>
        <w:rPr>
          <w:rFonts w:ascii="Arial Narrow" w:hAnsi="Arial Narrow"/>
          <w:szCs w:val="22"/>
          <w:lang w:val="pl-PL"/>
        </w:rPr>
      </w:pPr>
      <w:r w:rsidRPr="00B82FEC">
        <w:rPr>
          <w:rFonts w:ascii="Arial Narrow" w:hAnsi="Arial Narrow"/>
          <w:szCs w:val="22"/>
          <w:lang w:val="pl-PL"/>
        </w:rPr>
        <w:t>Oliwia Wójtowicz</w:t>
      </w:r>
    </w:p>
    <w:p w14:paraId="020D6933" w14:textId="77777777" w:rsidR="00EC61E4" w:rsidRPr="00B82FEC" w:rsidRDefault="00EC61E4" w:rsidP="00EC61E4">
      <w:pPr>
        <w:jc w:val="both"/>
        <w:rPr>
          <w:rFonts w:ascii="Arial Narrow" w:hAnsi="Arial Narrow"/>
          <w:szCs w:val="22"/>
          <w:lang w:val="pl-PL"/>
        </w:rPr>
      </w:pPr>
      <w:r w:rsidRPr="00B82FEC">
        <w:rPr>
          <w:rFonts w:ascii="Arial Narrow" w:hAnsi="Arial Narrow"/>
          <w:szCs w:val="22"/>
          <w:lang w:val="pl-PL"/>
        </w:rPr>
        <w:t xml:space="preserve">Dywizja Nutrition, Health &amp; </w:t>
      </w:r>
      <w:proofErr w:type="spellStart"/>
      <w:r w:rsidRPr="00B82FEC">
        <w:rPr>
          <w:rFonts w:ascii="Arial Narrow" w:hAnsi="Arial Narrow"/>
          <w:szCs w:val="22"/>
          <w:lang w:val="pl-PL"/>
        </w:rPr>
        <w:t>Wellness</w:t>
      </w:r>
      <w:bookmarkStart w:id="1" w:name="_GoBack"/>
      <w:bookmarkEnd w:id="1"/>
      <w:proofErr w:type="spellEnd"/>
    </w:p>
    <w:p w14:paraId="737E237A" w14:textId="026F4742" w:rsidR="008A6A89" w:rsidRPr="00B82FEC" w:rsidRDefault="00EC61E4" w:rsidP="00EC61E4">
      <w:pPr>
        <w:jc w:val="both"/>
        <w:rPr>
          <w:rFonts w:ascii="Arial Narrow" w:hAnsi="Arial Narrow"/>
          <w:szCs w:val="22"/>
          <w:lang w:val="pl-PL"/>
        </w:rPr>
      </w:pPr>
      <w:r w:rsidRPr="00B82FEC">
        <w:rPr>
          <w:rFonts w:ascii="Arial Narrow" w:hAnsi="Arial Narrow"/>
          <w:szCs w:val="22"/>
          <w:lang w:val="pl-PL"/>
        </w:rPr>
        <w:t>Nestlé Polska</w:t>
      </w:r>
    </w:p>
    <w:sectPr w:rsidR="008A6A89" w:rsidRPr="00B82FEC" w:rsidSect="00635836">
      <w:headerReference w:type="even" r:id="rId12"/>
      <w:headerReference w:type="default" r:id="rId13"/>
      <w:footerReference w:type="even" r:id="rId14"/>
      <w:footerReference w:type="default" r:id="rId15"/>
      <w:headerReference w:type="first" r:id="rId16"/>
      <w:footerReference w:type="first" r:id="rId17"/>
      <w:pgSz w:w="11906" w:h="16838"/>
      <w:pgMar w:top="4275" w:right="1021" w:bottom="1560" w:left="1701" w:header="936" w:footer="57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1BB8A" w14:textId="77777777" w:rsidR="00B37810" w:rsidRDefault="00B37810">
      <w:r>
        <w:separator/>
      </w:r>
    </w:p>
  </w:endnote>
  <w:endnote w:type="continuationSeparator" w:id="0">
    <w:p w14:paraId="1F29BAD0" w14:textId="77777777" w:rsidR="00B37810" w:rsidRDefault="00B3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C737" w14:textId="77777777" w:rsidR="00283E1E" w:rsidRDefault="00283E1E">
    <w:pPr>
      <w:pStyle w:val="Stopka"/>
    </w:pPr>
    <w:r>
      <w:rPr>
        <w:noProof/>
        <w:lang w:val="pl-PL" w:eastAsia="pl-PL"/>
      </w:rPr>
      <w:drawing>
        <wp:inline distT="0" distB="0" distL="0" distR="0" wp14:anchorId="6519C73B" wp14:editId="6519C73C">
          <wp:extent cx="3840480" cy="1964055"/>
          <wp:effectExtent l="0" t="0" r="0" b="0"/>
          <wp:docPr id="34" name="Picture 10" descr="C:\Users\plkrolpr\Desktop\Nestle JedzSmacznieZyjZdrowo PPB100 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lkrolpr\Desktop\Nestle JedzSmacznieZyjZdrowo PPB100 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1964055"/>
                  </a:xfrm>
                  <a:prstGeom prst="rect">
                    <a:avLst/>
                  </a:prstGeom>
                  <a:noFill/>
                  <a:ln>
                    <a:noFill/>
                  </a:ln>
                </pic:spPr>
              </pic:pic>
            </a:graphicData>
          </a:graphic>
        </wp:inline>
      </w:drawing>
    </w:r>
    <w:r>
      <w:rPr>
        <w:noProof/>
        <w:lang w:val="pl-PL" w:eastAsia="pl-PL"/>
      </w:rPr>
      <w:drawing>
        <wp:inline distT="0" distB="0" distL="0" distR="0" wp14:anchorId="6519C73D" wp14:editId="6519C73E">
          <wp:extent cx="3840480" cy="1964055"/>
          <wp:effectExtent l="0" t="0" r="0" b="0"/>
          <wp:docPr id="35" name="Picture 12" descr="C:\Users\plkrolpr\Desktop\Nestle JedzSmacznieZyjZdrowo PPB100 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lkrolpr\Desktop\Nestle JedzSmacznieZyjZdrowo PPB100 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19640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C738" w14:textId="5C56AA62" w:rsidR="0055505A" w:rsidRPr="00040935" w:rsidRDefault="00B5559C" w:rsidP="004F3CE4">
    <w:pPr>
      <w:pStyle w:val="Stopka"/>
      <w:tabs>
        <w:tab w:val="clear" w:pos="9072"/>
        <w:tab w:val="right" w:pos="9450"/>
      </w:tabs>
      <w:ind w:left="2250" w:right="-2" w:hanging="2959"/>
      <w:jc w:val="both"/>
      <w:rPr>
        <w:noProof/>
        <w:lang w:val="pl-PL" w:eastAsia="pl-PL"/>
      </w:rPr>
    </w:pPr>
    <w:r>
      <w:rPr>
        <w:noProof/>
        <w:lang w:val="pl-PL" w:eastAsia="pl-PL"/>
      </w:rPr>
      <w:drawing>
        <wp:anchor distT="0" distB="0" distL="114300" distR="114300" simplePos="0" relativeHeight="251675648" behindDoc="1" locked="0" layoutInCell="1" allowOverlap="1" wp14:anchorId="15DE88EF" wp14:editId="2B1DD837">
          <wp:simplePos x="0" y="0"/>
          <wp:positionH relativeFrom="column">
            <wp:posOffset>-861060</wp:posOffset>
          </wp:positionH>
          <wp:positionV relativeFrom="page">
            <wp:posOffset>9690735</wp:posOffset>
          </wp:positionV>
          <wp:extent cx="7134860" cy="616585"/>
          <wp:effectExtent l="0" t="0" r="8890" b="0"/>
          <wp:wrapTight wrapText="bothSides">
            <wp:wrapPolygon edited="0">
              <wp:start x="0" y="0"/>
              <wp:lineTo x="0" y="20688"/>
              <wp:lineTo x="21569" y="20688"/>
              <wp:lineTo x="21569" y="0"/>
              <wp:lineTo x="0" y="0"/>
            </wp:wrapPolygon>
          </wp:wrapTight>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og.png"/>
                  <pic:cNvPicPr/>
                </pic:nvPicPr>
                <pic:blipFill>
                  <a:blip r:embed="rId1">
                    <a:extLst>
                      <a:ext uri="{28A0092B-C50C-407E-A947-70E740481C1C}">
                        <a14:useLocalDpi xmlns:a14="http://schemas.microsoft.com/office/drawing/2010/main" val="0"/>
                      </a:ext>
                    </a:extLst>
                  </a:blip>
                  <a:stretch>
                    <a:fillRect/>
                  </a:stretch>
                </pic:blipFill>
                <pic:spPr>
                  <a:xfrm>
                    <a:off x="0" y="0"/>
                    <a:ext cx="7134860" cy="616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B835" w14:textId="77777777" w:rsidR="009E6354" w:rsidRDefault="009E63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407FC" w14:textId="77777777" w:rsidR="00B37810" w:rsidRDefault="00B37810">
      <w:r>
        <w:separator/>
      </w:r>
    </w:p>
  </w:footnote>
  <w:footnote w:type="continuationSeparator" w:id="0">
    <w:p w14:paraId="18AA9C80" w14:textId="77777777" w:rsidR="00B37810" w:rsidRDefault="00B37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93CB" w14:textId="77777777" w:rsidR="009E6354" w:rsidRDefault="009E63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01" w:type="dxa"/>
      <w:tblInd w:w="-781" w:type="dxa"/>
      <w:tblLayout w:type="fixed"/>
      <w:tblCellMar>
        <w:left w:w="70" w:type="dxa"/>
        <w:right w:w="70" w:type="dxa"/>
      </w:tblCellMar>
      <w:tblLook w:val="0000" w:firstRow="0" w:lastRow="0" w:firstColumn="0" w:lastColumn="0" w:noHBand="0" w:noVBand="0"/>
    </w:tblPr>
    <w:tblGrid>
      <w:gridCol w:w="5072"/>
      <w:gridCol w:w="6229"/>
    </w:tblGrid>
    <w:tr w:rsidR="0055505A" w:rsidRPr="000E18E3" w14:paraId="6519C72F" w14:textId="77777777" w:rsidTr="006B7D9A">
      <w:trPr>
        <w:trHeight w:val="720"/>
      </w:trPr>
      <w:tc>
        <w:tcPr>
          <w:tcW w:w="5072" w:type="dxa"/>
        </w:tcPr>
        <w:p w14:paraId="6519C72B" w14:textId="369F1473" w:rsidR="0055505A" w:rsidRPr="00EC4A9D" w:rsidRDefault="0055505A" w:rsidP="009353BA">
          <w:pPr>
            <w:ind w:left="767"/>
            <w:rPr>
              <w:rFonts w:ascii="Arial" w:hAnsi="Arial"/>
              <w:b/>
              <w:sz w:val="21"/>
              <w:szCs w:val="21"/>
              <w:lang w:val="pl-PL"/>
            </w:rPr>
          </w:pPr>
          <w:r w:rsidRPr="00EC4A9D">
            <w:rPr>
              <w:rFonts w:ascii="Arial" w:hAnsi="Arial"/>
              <w:b/>
              <w:sz w:val="21"/>
              <w:szCs w:val="21"/>
              <w:lang w:val="pl-PL"/>
            </w:rPr>
            <w:t>Nestlé Polska S.A.</w:t>
          </w:r>
          <w:r>
            <w:rPr>
              <w:rFonts w:ascii="Arial" w:hAnsi="Arial"/>
              <w:b/>
              <w:sz w:val="21"/>
              <w:szCs w:val="21"/>
              <w:lang w:val="pl-PL"/>
            </w:rPr>
            <w:ptab w:relativeTo="margin" w:alignment="left" w:leader="middleDot"/>
          </w:r>
          <w:r>
            <w:rPr>
              <w:rFonts w:ascii="Arial" w:hAnsi="Arial"/>
              <w:b/>
              <w:sz w:val="21"/>
              <w:szCs w:val="21"/>
              <w:lang w:val="pl-PL"/>
            </w:rPr>
            <w:br/>
          </w:r>
          <w:r w:rsidR="000E18E3">
            <w:rPr>
              <w:rFonts w:ascii="Arial" w:hAnsi="Arial"/>
              <w:sz w:val="17"/>
              <w:szCs w:val="17"/>
              <w:lang w:val="pl-PL"/>
            </w:rPr>
            <w:t>ul. Domaniewska 3</w:t>
          </w:r>
          <w:r w:rsidRPr="00EC4A9D">
            <w:rPr>
              <w:rFonts w:ascii="Arial" w:hAnsi="Arial"/>
              <w:sz w:val="17"/>
              <w:szCs w:val="17"/>
              <w:lang w:val="pl-PL"/>
            </w:rPr>
            <w:t>2</w:t>
          </w:r>
        </w:p>
        <w:p w14:paraId="6519C72C" w14:textId="2FB24969" w:rsidR="0055505A" w:rsidRPr="00EC4A9D" w:rsidRDefault="000E18E3" w:rsidP="009353BA">
          <w:pPr>
            <w:ind w:left="767"/>
            <w:rPr>
              <w:rFonts w:ascii="Arial" w:hAnsi="Arial"/>
              <w:sz w:val="17"/>
              <w:szCs w:val="17"/>
              <w:lang w:val="pl-PL"/>
            </w:rPr>
          </w:pPr>
          <w:r>
            <w:rPr>
              <w:rFonts w:ascii="Arial" w:hAnsi="Arial"/>
              <w:sz w:val="17"/>
              <w:szCs w:val="17"/>
              <w:lang w:val="pl-PL"/>
            </w:rPr>
            <w:t>02-672</w:t>
          </w:r>
          <w:r w:rsidR="0055505A" w:rsidRPr="00EC4A9D">
            <w:rPr>
              <w:rFonts w:ascii="Arial" w:hAnsi="Arial"/>
              <w:sz w:val="17"/>
              <w:szCs w:val="17"/>
              <w:lang w:val="pl-PL"/>
            </w:rPr>
            <w:t xml:space="preserve"> Warszawa  </w:t>
          </w:r>
        </w:p>
        <w:p w14:paraId="6519C72D" w14:textId="6DB41BD6" w:rsidR="0055505A" w:rsidRPr="00EC4A9D" w:rsidRDefault="000E18E3" w:rsidP="000E18E3">
          <w:pPr>
            <w:ind w:left="767"/>
            <w:rPr>
              <w:rFonts w:ascii="Arial" w:hAnsi="Arial"/>
              <w:sz w:val="17"/>
              <w:szCs w:val="17"/>
              <w:lang w:val="pl-PL"/>
            </w:rPr>
          </w:pPr>
          <w:r>
            <w:rPr>
              <w:rFonts w:ascii="Arial" w:hAnsi="Arial"/>
              <w:sz w:val="17"/>
              <w:szCs w:val="17"/>
              <w:lang w:val="pl-PL"/>
            </w:rPr>
            <w:t xml:space="preserve">Polska / </w:t>
          </w:r>
          <w:r w:rsidR="0055505A" w:rsidRPr="00EC4A9D">
            <w:rPr>
              <w:rFonts w:ascii="Arial" w:hAnsi="Arial"/>
              <w:sz w:val="17"/>
              <w:szCs w:val="17"/>
              <w:lang w:val="pl-PL"/>
            </w:rPr>
            <w:t>Poland</w:t>
          </w:r>
          <w:r w:rsidR="0055505A">
            <w:rPr>
              <w:rFonts w:ascii="Arial" w:hAnsi="Arial"/>
              <w:sz w:val="17"/>
              <w:szCs w:val="17"/>
              <w:lang w:val="pl-PL"/>
            </w:rPr>
            <w:br/>
          </w:r>
          <w:r w:rsidR="0055505A" w:rsidRPr="00EC4A9D">
            <w:rPr>
              <w:rFonts w:ascii="Arial" w:hAnsi="Arial"/>
              <w:sz w:val="17"/>
              <w:szCs w:val="17"/>
              <w:lang w:val="pl-PL"/>
            </w:rPr>
            <w:t xml:space="preserve">Tel: (48-22) </w:t>
          </w:r>
          <w:r>
            <w:rPr>
              <w:rFonts w:ascii="Arial" w:hAnsi="Arial"/>
              <w:sz w:val="17"/>
              <w:szCs w:val="17"/>
              <w:lang w:val="pl-PL"/>
            </w:rPr>
            <w:t>325</w:t>
          </w:r>
          <w:r w:rsidR="0055505A" w:rsidRPr="00EC4A9D">
            <w:rPr>
              <w:rFonts w:ascii="Arial" w:hAnsi="Arial"/>
              <w:sz w:val="17"/>
              <w:szCs w:val="17"/>
              <w:lang w:val="pl-PL"/>
            </w:rPr>
            <w:t xml:space="preserve"> </w:t>
          </w:r>
          <w:r>
            <w:rPr>
              <w:rFonts w:ascii="Arial" w:hAnsi="Arial"/>
              <w:sz w:val="17"/>
              <w:szCs w:val="17"/>
              <w:lang w:val="pl-PL"/>
            </w:rPr>
            <w:t>25</w:t>
          </w:r>
          <w:r w:rsidR="0055505A" w:rsidRPr="00EC4A9D">
            <w:rPr>
              <w:rFonts w:ascii="Arial" w:hAnsi="Arial"/>
              <w:sz w:val="17"/>
              <w:szCs w:val="17"/>
              <w:lang w:val="pl-PL"/>
            </w:rPr>
            <w:t xml:space="preserve"> </w:t>
          </w:r>
          <w:r>
            <w:rPr>
              <w:rFonts w:ascii="Arial" w:hAnsi="Arial"/>
              <w:sz w:val="17"/>
              <w:szCs w:val="17"/>
              <w:lang w:val="pl-PL"/>
            </w:rPr>
            <w:t>25</w:t>
          </w:r>
          <w:r w:rsidR="0055505A" w:rsidRPr="00EC4A9D">
            <w:rPr>
              <w:rFonts w:ascii="Arial" w:hAnsi="Arial"/>
              <w:sz w:val="17"/>
              <w:szCs w:val="17"/>
              <w:lang w:val="pl-PL"/>
            </w:rPr>
            <w:t xml:space="preserve">                </w:t>
          </w:r>
        </w:p>
      </w:tc>
      <w:tc>
        <w:tcPr>
          <w:tcW w:w="6229" w:type="dxa"/>
        </w:tcPr>
        <w:p w14:paraId="6519C72E" w14:textId="3B8D09E7" w:rsidR="0055505A" w:rsidRDefault="00D81E1E" w:rsidP="004769CE">
          <w:pPr>
            <w:tabs>
              <w:tab w:val="left" w:pos="219"/>
            </w:tabs>
            <w:ind w:left="4892" w:right="571" w:hanging="4892"/>
            <w:jc w:val="right"/>
            <w:rPr>
              <w:rFonts w:ascii="Arial" w:hAnsi="Arial"/>
              <w:sz w:val="30"/>
              <w:lang w:val="pl-PL"/>
            </w:rPr>
          </w:pPr>
          <w:r>
            <w:rPr>
              <w:noProof/>
              <w:lang w:val="pl-PL" w:eastAsia="pl-PL"/>
            </w:rPr>
            <w:drawing>
              <wp:inline distT="0" distB="0" distL="0" distR="0" wp14:anchorId="2CC1C500" wp14:editId="41E5C8DA">
                <wp:extent cx="1703705" cy="771525"/>
                <wp:effectExtent l="0" t="0" r="0" b="9525"/>
                <wp:docPr id="33"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3705" cy="771525"/>
                        </a:xfrm>
                        <a:prstGeom prst="rect">
                          <a:avLst/>
                        </a:prstGeom>
                        <a:noFill/>
                        <a:ln>
                          <a:noFill/>
                        </a:ln>
                      </pic:spPr>
                    </pic:pic>
                  </a:graphicData>
                </a:graphic>
              </wp:inline>
            </w:drawing>
          </w:r>
          <w:r w:rsidR="0055505A">
            <w:rPr>
              <w:rFonts w:ascii="Arial" w:hAnsi="Arial"/>
              <w:lang w:val="pl-PL"/>
            </w:rPr>
            <w:t xml:space="preserve">   </w:t>
          </w:r>
        </w:p>
      </w:tc>
    </w:tr>
  </w:tbl>
  <w:p w14:paraId="6519C730" w14:textId="77777777" w:rsidR="0055505A" w:rsidRPr="00EC4A9D" w:rsidRDefault="0055505A" w:rsidP="009353BA">
    <w:pPr>
      <w:rPr>
        <w:rFonts w:ascii="Arial" w:hAnsi="Arial"/>
        <w:color w:val="808080"/>
        <w:sz w:val="14"/>
        <w:lang w:val="pl-PL"/>
      </w:rPr>
    </w:pPr>
    <w:r>
      <w:rPr>
        <w:rFonts w:ascii="Arial" w:hAnsi="Arial"/>
        <w:color w:val="808080"/>
        <w:sz w:val="14"/>
        <w:lang w:val="pl-PL"/>
      </w:rPr>
      <w:br/>
    </w:r>
    <w:r w:rsidRPr="00EC4A9D">
      <w:rPr>
        <w:rFonts w:ascii="Arial" w:hAnsi="Arial"/>
        <w:color w:val="808080"/>
        <w:sz w:val="14"/>
        <w:lang w:val="pl-PL"/>
      </w:rPr>
      <w:t>Sąd Rejonowy dla m.st. Warszawy</w:t>
    </w:r>
    <w:r w:rsidRPr="00EC4A9D">
      <w:rPr>
        <w:rFonts w:ascii="Arial" w:hAnsi="Arial"/>
        <w:color w:val="808080"/>
        <w:sz w:val="14"/>
        <w:lang w:val="pl-PL"/>
      </w:rPr>
      <w:br/>
      <w:t>XIII Wydz. Gospodarczy Krajowego</w:t>
    </w:r>
    <w:r w:rsidRPr="00EC4A9D">
      <w:rPr>
        <w:rFonts w:ascii="Arial" w:hAnsi="Arial"/>
        <w:color w:val="808080"/>
        <w:sz w:val="14"/>
        <w:lang w:val="pl-PL"/>
      </w:rPr>
      <w:br/>
      <w:t>Rejestru Sądowego</w:t>
    </w:r>
  </w:p>
  <w:p w14:paraId="6519C731" w14:textId="23024D1D" w:rsidR="0055505A" w:rsidRPr="00EC4A9D" w:rsidRDefault="0055505A" w:rsidP="009353BA">
    <w:pPr>
      <w:pStyle w:val="Tekstpodstawowywcity"/>
      <w:ind w:left="0"/>
      <w:rPr>
        <w:color w:val="808080"/>
        <w:sz w:val="14"/>
      </w:rPr>
    </w:pPr>
    <w:r w:rsidRPr="00EC4A9D">
      <w:rPr>
        <w:color w:val="808080"/>
        <w:sz w:val="14"/>
      </w:rPr>
      <w:t>KRS 0000025166</w:t>
    </w:r>
    <w:r w:rsidRPr="00EC4A9D">
      <w:rPr>
        <w:color w:val="808080"/>
        <w:sz w:val="14"/>
      </w:rPr>
      <w:br/>
      <w:t>NIP 527-020-39-68</w:t>
    </w:r>
    <w:r w:rsidR="00652099">
      <w:rPr>
        <w:color w:val="808080"/>
        <w:sz w:val="14"/>
      </w:rPr>
      <w:t xml:space="preserve"> </w:t>
    </w:r>
  </w:p>
  <w:p w14:paraId="6519C733" w14:textId="05907F55" w:rsidR="0055505A" w:rsidRDefault="0055505A" w:rsidP="00D81E1E">
    <w:pPr>
      <w:pStyle w:val="Tekstpodstawowywcity"/>
      <w:ind w:left="0"/>
    </w:pPr>
    <w:r w:rsidRPr="00EC4A9D">
      <w:rPr>
        <w:color w:val="808080"/>
        <w:sz w:val="14"/>
      </w:rPr>
      <w:t xml:space="preserve">Kapitał zakładowy </w:t>
    </w:r>
    <w:r w:rsidR="009E6354" w:rsidRPr="009E6354">
      <w:rPr>
        <w:color w:val="808080"/>
        <w:sz w:val="14"/>
      </w:rPr>
      <w:t>42</w:t>
    </w:r>
    <w:r w:rsidR="009E6354">
      <w:rPr>
        <w:color w:val="808080"/>
        <w:sz w:val="14"/>
      </w:rPr>
      <w:t> </w:t>
    </w:r>
    <w:r w:rsidR="009E6354" w:rsidRPr="009E6354">
      <w:rPr>
        <w:color w:val="808080"/>
        <w:sz w:val="14"/>
      </w:rPr>
      <w:t>459</w:t>
    </w:r>
    <w:r w:rsidR="009E6354">
      <w:rPr>
        <w:color w:val="808080"/>
        <w:sz w:val="14"/>
      </w:rPr>
      <w:t> </w:t>
    </w:r>
    <w:r w:rsidR="009E6354" w:rsidRPr="009E6354">
      <w:rPr>
        <w:color w:val="808080"/>
        <w:sz w:val="14"/>
      </w:rPr>
      <w:t>600</w:t>
    </w:r>
    <w:r w:rsidR="009E6354">
      <w:rPr>
        <w:color w:val="808080"/>
        <w:sz w:val="14"/>
      </w:rPr>
      <w:t>,00</w:t>
    </w:r>
    <w:r w:rsidR="009E6354" w:rsidRPr="009E6354">
      <w:rPr>
        <w:color w:val="808080"/>
        <w:sz w:val="14"/>
      </w:rPr>
      <w:t xml:space="preserve"> </w:t>
    </w:r>
    <w:r w:rsidR="00652099">
      <w:rPr>
        <w:color w:val="808080"/>
        <w:sz w:val="14"/>
      </w:rPr>
      <w:t>PL</w:t>
    </w:r>
    <w:r w:rsidRPr="00EC4A9D">
      <w:rPr>
        <w:color w:val="808080"/>
        <w:sz w:val="14"/>
      </w:rPr>
      <w:t>N w pełni opłacony</w:t>
    </w:r>
    <w:r w:rsidR="00BB5F42">
      <w:rPr>
        <w:color w:val="808080"/>
        <w:sz w:val="14"/>
      </w:rPr>
      <w:br/>
    </w:r>
    <w:r w:rsidR="00BB5F42" w:rsidRPr="00BB5F42">
      <w:rPr>
        <w:color w:val="808080"/>
        <w:sz w:val="14"/>
      </w:rPr>
      <w:t>BDO 000016180</w:t>
    </w:r>
  </w:p>
  <w:p w14:paraId="6519C734" w14:textId="77777777" w:rsidR="0055505A" w:rsidRDefault="0055505A">
    <w:pPr>
      <w:rPr>
        <w:sz w:val="14"/>
        <w:lang w:val="pl-PL"/>
      </w:rPr>
    </w:pPr>
  </w:p>
  <w:p w14:paraId="6519C735" w14:textId="77777777" w:rsidR="0055505A" w:rsidRDefault="0055505A">
    <w:pPr>
      <w:pStyle w:val="Nagwek"/>
      <w:tabs>
        <w:tab w:val="clear" w:pos="4536"/>
        <w:tab w:val="clear" w:pos="9072"/>
      </w:tabs>
      <w:rPr>
        <w:rFonts w:ascii="Arial" w:hAnsi="Arial" w:cs="Arial"/>
        <w:lang w:val="pl-PL"/>
      </w:rPr>
    </w:pPr>
  </w:p>
  <w:p w14:paraId="6519C736" w14:textId="77777777" w:rsidR="0055505A" w:rsidRDefault="0055505A">
    <w:pPr>
      <w:pStyle w:val="Nagwek"/>
      <w:tabs>
        <w:tab w:val="clear" w:pos="4536"/>
        <w:tab w:val="clear" w:pos="9072"/>
      </w:tabs>
      <w:rPr>
        <w:rFonts w:ascii="Arial" w:hAnsi="Arial" w:cs="Arial"/>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5528" w14:textId="77777777" w:rsidR="009E6354" w:rsidRDefault="009E63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E5DC2"/>
    <w:multiLevelType w:val="hybridMultilevel"/>
    <w:tmpl w:val="58426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A92AC3"/>
    <w:multiLevelType w:val="hybridMultilevel"/>
    <w:tmpl w:val="13CE2D00"/>
    <w:lvl w:ilvl="0" w:tplc="BA609F1A">
      <w:start w:val="1"/>
      <w:numFmt w:val="decimal"/>
      <w:lvlText w:val="%1."/>
      <w:lvlJc w:val="left"/>
      <w:pPr>
        <w:ind w:left="720" w:hanging="360"/>
      </w:pPr>
      <w:rPr>
        <w:rFonts w:ascii="Arial Narrow" w:hAnsi="Arial Narro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ED2DC8"/>
    <w:multiLevelType w:val="hybridMultilevel"/>
    <w:tmpl w:val="4B22E2C8"/>
    <w:lvl w:ilvl="0" w:tplc="328EFB32">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9C"/>
    <w:rsid w:val="00004301"/>
    <w:rsid w:val="00004BC3"/>
    <w:rsid w:val="00013520"/>
    <w:rsid w:val="00036CEC"/>
    <w:rsid w:val="00040935"/>
    <w:rsid w:val="0005419D"/>
    <w:rsid w:val="0007701C"/>
    <w:rsid w:val="0008734A"/>
    <w:rsid w:val="00097615"/>
    <w:rsid w:val="00097FF2"/>
    <w:rsid w:val="000B2392"/>
    <w:rsid w:val="000B3D3A"/>
    <w:rsid w:val="000C4468"/>
    <w:rsid w:val="000D700A"/>
    <w:rsid w:val="000E18E3"/>
    <w:rsid w:val="000E3DBA"/>
    <w:rsid w:val="000F622D"/>
    <w:rsid w:val="00115862"/>
    <w:rsid w:val="001241A4"/>
    <w:rsid w:val="0013092E"/>
    <w:rsid w:val="001322D3"/>
    <w:rsid w:val="00152755"/>
    <w:rsid w:val="001546E7"/>
    <w:rsid w:val="00154CA9"/>
    <w:rsid w:val="00162B55"/>
    <w:rsid w:val="001724D8"/>
    <w:rsid w:val="001817D6"/>
    <w:rsid w:val="00187938"/>
    <w:rsid w:val="00192C39"/>
    <w:rsid w:val="00193F04"/>
    <w:rsid w:val="001B7B01"/>
    <w:rsid w:val="001E0684"/>
    <w:rsid w:val="001E1914"/>
    <w:rsid w:val="001F0DFF"/>
    <w:rsid w:val="001F3F59"/>
    <w:rsid w:val="001F629F"/>
    <w:rsid w:val="00203433"/>
    <w:rsid w:val="00224653"/>
    <w:rsid w:val="00224804"/>
    <w:rsid w:val="00230BDC"/>
    <w:rsid w:val="002344C9"/>
    <w:rsid w:val="00283E1E"/>
    <w:rsid w:val="00292A1D"/>
    <w:rsid w:val="002B2716"/>
    <w:rsid w:val="002D6120"/>
    <w:rsid w:val="002F11CD"/>
    <w:rsid w:val="002F2EB9"/>
    <w:rsid w:val="00305007"/>
    <w:rsid w:val="00345F65"/>
    <w:rsid w:val="00362FC1"/>
    <w:rsid w:val="00367A9C"/>
    <w:rsid w:val="003B6830"/>
    <w:rsid w:val="003D41FD"/>
    <w:rsid w:val="003D5BF1"/>
    <w:rsid w:val="00404ECD"/>
    <w:rsid w:val="00433FCB"/>
    <w:rsid w:val="0044551A"/>
    <w:rsid w:val="00446903"/>
    <w:rsid w:val="004501F9"/>
    <w:rsid w:val="004503BF"/>
    <w:rsid w:val="00457FDA"/>
    <w:rsid w:val="00470ED2"/>
    <w:rsid w:val="0047516B"/>
    <w:rsid w:val="0047569F"/>
    <w:rsid w:val="004769CE"/>
    <w:rsid w:val="004817C9"/>
    <w:rsid w:val="0049067D"/>
    <w:rsid w:val="004A15DE"/>
    <w:rsid w:val="004A59D8"/>
    <w:rsid w:val="004C78A9"/>
    <w:rsid w:val="004D0015"/>
    <w:rsid w:val="004E3A01"/>
    <w:rsid w:val="004F3CE4"/>
    <w:rsid w:val="00500547"/>
    <w:rsid w:val="005015CC"/>
    <w:rsid w:val="005050E9"/>
    <w:rsid w:val="00513165"/>
    <w:rsid w:val="00522E5F"/>
    <w:rsid w:val="0055505A"/>
    <w:rsid w:val="005576F5"/>
    <w:rsid w:val="0057607F"/>
    <w:rsid w:val="00591E86"/>
    <w:rsid w:val="005A3037"/>
    <w:rsid w:val="005C50A8"/>
    <w:rsid w:val="005F2840"/>
    <w:rsid w:val="005F4C8A"/>
    <w:rsid w:val="005F701B"/>
    <w:rsid w:val="006041F9"/>
    <w:rsid w:val="00610118"/>
    <w:rsid w:val="006149F6"/>
    <w:rsid w:val="006179A3"/>
    <w:rsid w:val="0062331C"/>
    <w:rsid w:val="00635836"/>
    <w:rsid w:val="00646573"/>
    <w:rsid w:val="00652099"/>
    <w:rsid w:val="006724A4"/>
    <w:rsid w:val="006B4917"/>
    <w:rsid w:val="006B6E5F"/>
    <w:rsid w:val="006B7D9A"/>
    <w:rsid w:val="00701CE3"/>
    <w:rsid w:val="00701F64"/>
    <w:rsid w:val="00715C7E"/>
    <w:rsid w:val="007315D0"/>
    <w:rsid w:val="0073766A"/>
    <w:rsid w:val="00765201"/>
    <w:rsid w:val="007904A7"/>
    <w:rsid w:val="007917B3"/>
    <w:rsid w:val="007A2489"/>
    <w:rsid w:val="007A4586"/>
    <w:rsid w:val="007B2BC4"/>
    <w:rsid w:val="007B4C78"/>
    <w:rsid w:val="007C1648"/>
    <w:rsid w:val="00823BF0"/>
    <w:rsid w:val="00830891"/>
    <w:rsid w:val="00832379"/>
    <w:rsid w:val="00847DEE"/>
    <w:rsid w:val="00851121"/>
    <w:rsid w:val="00872F65"/>
    <w:rsid w:val="008804A1"/>
    <w:rsid w:val="008A0929"/>
    <w:rsid w:val="008A6A89"/>
    <w:rsid w:val="008D7CA9"/>
    <w:rsid w:val="008E1A81"/>
    <w:rsid w:val="008E3CD3"/>
    <w:rsid w:val="008E7D4D"/>
    <w:rsid w:val="008F1335"/>
    <w:rsid w:val="00915535"/>
    <w:rsid w:val="009161DF"/>
    <w:rsid w:val="00922622"/>
    <w:rsid w:val="00926381"/>
    <w:rsid w:val="00932D55"/>
    <w:rsid w:val="009353BA"/>
    <w:rsid w:val="009545D2"/>
    <w:rsid w:val="0095777D"/>
    <w:rsid w:val="00963DAA"/>
    <w:rsid w:val="00964FFD"/>
    <w:rsid w:val="009777FC"/>
    <w:rsid w:val="009819F8"/>
    <w:rsid w:val="009A2ED8"/>
    <w:rsid w:val="009A38C3"/>
    <w:rsid w:val="009A69C8"/>
    <w:rsid w:val="009B7D3B"/>
    <w:rsid w:val="009C0921"/>
    <w:rsid w:val="009C3465"/>
    <w:rsid w:val="009E0995"/>
    <w:rsid w:val="009E2C8C"/>
    <w:rsid w:val="009E6354"/>
    <w:rsid w:val="00A217AB"/>
    <w:rsid w:val="00A319CC"/>
    <w:rsid w:val="00A62C75"/>
    <w:rsid w:val="00A70D50"/>
    <w:rsid w:val="00AB27F7"/>
    <w:rsid w:val="00AC296B"/>
    <w:rsid w:val="00AC3167"/>
    <w:rsid w:val="00AC7178"/>
    <w:rsid w:val="00AD135E"/>
    <w:rsid w:val="00AE45CE"/>
    <w:rsid w:val="00AE76D1"/>
    <w:rsid w:val="00AF188C"/>
    <w:rsid w:val="00B02398"/>
    <w:rsid w:val="00B07AA0"/>
    <w:rsid w:val="00B216BA"/>
    <w:rsid w:val="00B37810"/>
    <w:rsid w:val="00B37C39"/>
    <w:rsid w:val="00B52425"/>
    <w:rsid w:val="00B5559C"/>
    <w:rsid w:val="00B56FC6"/>
    <w:rsid w:val="00B82FEC"/>
    <w:rsid w:val="00B92D79"/>
    <w:rsid w:val="00BA0C33"/>
    <w:rsid w:val="00BA2F10"/>
    <w:rsid w:val="00BA34CF"/>
    <w:rsid w:val="00BA3FFD"/>
    <w:rsid w:val="00BB5F42"/>
    <w:rsid w:val="00BC468C"/>
    <w:rsid w:val="00BE4FE3"/>
    <w:rsid w:val="00BE70AC"/>
    <w:rsid w:val="00BF1FA0"/>
    <w:rsid w:val="00BF52EC"/>
    <w:rsid w:val="00C1137F"/>
    <w:rsid w:val="00C1633C"/>
    <w:rsid w:val="00C26360"/>
    <w:rsid w:val="00C43CDD"/>
    <w:rsid w:val="00C61E6B"/>
    <w:rsid w:val="00C66871"/>
    <w:rsid w:val="00C67040"/>
    <w:rsid w:val="00C675D9"/>
    <w:rsid w:val="00C706C8"/>
    <w:rsid w:val="00C70C33"/>
    <w:rsid w:val="00C72718"/>
    <w:rsid w:val="00C83657"/>
    <w:rsid w:val="00C842D9"/>
    <w:rsid w:val="00C90573"/>
    <w:rsid w:val="00CA087B"/>
    <w:rsid w:val="00CC5916"/>
    <w:rsid w:val="00CD1615"/>
    <w:rsid w:val="00CD2509"/>
    <w:rsid w:val="00CD61BC"/>
    <w:rsid w:val="00CF2448"/>
    <w:rsid w:val="00CF5DB4"/>
    <w:rsid w:val="00D05BE9"/>
    <w:rsid w:val="00D20A88"/>
    <w:rsid w:val="00D27566"/>
    <w:rsid w:val="00D72609"/>
    <w:rsid w:val="00D73525"/>
    <w:rsid w:val="00D81E1E"/>
    <w:rsid w:val="00D8231B"/>
    <w:rsid w:val="00DA037F"/>
    <w:rsid w:val="00DC52B7"/>
    <w:rsid w:val="00DF50E6"/>
    <w:rsid w:val="00E00A96"/>
    <w:rsid w:val="00E16733"/>
    <w:rsid w:val="00E44BD5"/>
    <w:rsid w:val="00E4603E"/>
    <w:rsid w:val="00E62709"/>
    <w:rsid w:val="00E654A6"/>
    <w:rsid w:val="00E72137"/>
    <w:rsid w:val="00E72DC6"/>
    <w:rsid w:val="00E84F6B"/>
    <w:rsid w:val="00EA0C16"/>
    <w:rsid w:val="00EA4357"/>
    <w:rsid w:val="00EA4D65"/>
    <w:rsid w:val="00EB0D07"/>
    <w:rsid w:val="00EC4A9D"/>
    <w:rsid w:val="00EC4E16"/>
    <w:rsid w:val="00EC61E4"/>
    <w:rsid w:val="00ED1AD0"/>
    <w:rsid w:val="00ED205A"/>
    <w:rsid w:val="00ED3C32"/>
    <w:rsid w:val="00EF3D1B"/>
    <w:rsid w:val="00F11C07"/>
    <w:rsid w:val="00F1305F"/>
    <w:rsid w:val="00F37B80"/>
    <w:rsid w:val="00F40624"/>
    <w:rsid w:val="00F473AB"/>
    <w:rsid w:val="00F574E8"/>
    <w:rsid w:val="00F62855"/>
    <w:rsid w:val="00F67BB2"/>
    <w:rsid w:val="00F72913"/>
    <w:rsid w:val="00FB0036"/>
    <w:rsid w:val="00FB47D9"/>
    <w:rsid w:val="00FC39A9"/>
    <w:rsid w:val="00FC43E3"/>
    <w:rsid w:val="00FC50B3"/>
    <w:rsid w:val="00FC542E"/>
    <w:rsid w:val="00FC6743"/>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9C70C"/>
  <w15:docId w15:val="{24CFA9EF-21CA-4CE0-A85E-DA3CB2B2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44551A"/>
    <w:rPr>
      <w:sz w:val="22"/>
      <w:lang w:val="en-US" w:eastAsia="en-US"/>
    </w:rPr>
  </w:style>
  <w:style w:type="paragraph" w:styleId="Nagwek1">
    <w:name w:val="heading 1"/>
    <w:basedOn w:val="Normalny"/>
    <w:next w:val="Normalny"/>
    <w:link w:val="Nagwek1Znak"/>
    <w:qFormat/>
    <w:rsid w:val="00DF50E6"/>
    <w:pPr>
      <w:keepNext/>
      <w:spacing w:before="240" w:after="60"/>
      <w:outlineLvl w:val="0"/>
    </w:pPr>
    <w:rPr>
      <w:rFonts w:asciiTheme="majorHAnsi" w:eastAsiaTheme="majorEastAsia" w:hAnsiTheme="majorHAnsi" w:cstheme="majorBidi"/>
      <w:b/>
      <w:bCs/>
      <w:kern w:val="32"/>
      <w:sz w:val="32"/>
      <w:szCs w:val="32"/>
    </w:rPr>
  </w:style>
  <w:style w:type="paragraph" w:styleId="Nagwek3">
    <w:name w:val="heading 3"/>
    <w:basedOn w:val="Normalny"/>
    <w:next w:val="Normalny"/>
    <w:link w:val="Nagwek3Znak"/>
    <w:semiHidden/>
    <w:unhideWhenUsed/>
    <w:qFormat/>
    <w:rsid w:val="00BE70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44551A"/>
  </w:style>
  <w:style w:type="paragraph" w:styleId="Nagwek">
    <w:name w:val="header"/>
    <w:basedOn w:val="Normalny"/>
    <w:rsid w:val="0044551A"/>
    <w:pPr>
      <w:tabs>
        <w:tab w:val="center" w:pos="4536"/>
        <w:tab w:val="right" w:pos="9072"/>
      </w:tabs>
    </w:pPr>
    <w:rPr>
      <w:sz w:val="20"/>
      <w:lang w:val="en-GB"/>
    </w:rPr>
  </w:style>
  <w:style w:type="paragraph" w:styleId="Stopka">
    <w:name w:val="footer"/>
    <w:basedOn w:val="Normalny"/>
    <w:rsid w:val="0044551A"/>
    <w:pPr>
      <w:tabs>
        <w:tab w:val="center" w:pos="4536"/>
        <w:tab w:val="right" w:pos="9072"/>
      </w:tabs>
    </w:pPr>
    <w:rPr>
      <w:sz w:val="20"/>
      <w:lang w:val="en-GB"/>
    </w:rPr>
  </w:style>
  <w:style w:type="paragraph" w:styleId="Tekstpodstawowywcity">
    <w:name w:val="Body Text Indent"/>
    <w:basedOn w:val="Normalny"/>
    <w:rsid w:val="0044551A"/>
    <w:pPr>
      <w:ind w:left="-851"/>
    </w:pPr>
    <w:rPr>
      <w:rFonts w:ascii="Arial" w:hAnsi="Arial"/>
      <w:sz w:val="16"/>
      <w:lang w:val="pl-PL"/>
    </w:rPr>
  </w:style>
  <w:style w:type="paragraph" w:styleId="Tekstdymka">
    <w:name w:val="Balloon Text"/>
    <w:basedOn w:val="Normalny"/>
    <w:semiHidden/>
    <w:rsid w:val="00F1305F"/>
    <w:rPr>
      <w:rFonts w:ascii="Tahoma" w:hAnsi="Tahoma" w:cs="Tahoma"/>
      <w:sz w:val="16"/>
      <w:szCs w:val="16"/>
    </w:rPr>
  </w:style>
  <w:style w:type="character" w:customStyle="1" w:styleId="Nagwek1Znak">
    <w:name w:val="Nagłówek 1 Znak"/>
    <w:basedOn w:val="Domylnaczcionkaakapitu"/>
    <w:link w:val="Nagwek1"/>
    <w:rsid w:val="00DF50E6"/>
    <w:rPr>
      <w:rFonts w:asciiTheme="majorHAnsi" w:eastAsiaTheme="majorEastAsia" w:hAnsiTheme="majorHAnsi" w:cstheme="majorBidi"/>
      <w:b/>
      <w:bCs/>
      <w:kern w:val="32"/>
      <w:sz w:val="32"/>
      <w:szCs w:val="32"/>
      <w:lang w:val="en-US" w:eastAsia="en-US"/>
    </w:rPr>
  </w:style>
  <w:style w:type="paragraph" w:styleId="Akapitzlist">
    <w:name w:val="List Paragraph"/>
    <w:basedOn w:val="Normalny"/>
    <w:uiPriority w:val="34"/>
    <w:qFormat/>
    <w:rsid w:val="005F701B"/>
    <w:pPr>
      <w:ind w:left="720"/>
      <w:contextualSpacing/>
    </w:pPr>
  </w:style>
  <w:style w:type="character" w:styleId="Odwoaniedokomentarza">
    <w:name w:val="annotation reference"/>
    <w:basedOn w:val="Domylnaczcionkaakapitu"/>
    <w:rsid w:val="005F701B"/>
    <w:rPr>
      <w:sz w:val="16"/>
      <w:szCs w:val="16"/>
    </w:rPr>
  </w:style>
  <w:style w:type="paragraph" w:styleId="Tekstkomentarza">
    <w:name w:val="annotation text"/>
    <w:basedOn w:val="Normalny"/>
    <w:link w:val="TekstkomentarzaZnak"/>
    <w:rsid w:val="005F701B"/>
    <w:rPr>
      <w:sz w:val="20"/>
    </w:rPr>
  </w:style>
  <w:style w:type="character" w:customStyle="1" w:styleId="TekstkomentarzaZnak">
    <w:name w:val="Tekst komentarza Znak"/>
    <w:basedOn w:val="Domylnaczcionkaakapitu"/>
    <w:link w:val="Tekstkomentarza"/>
    <w:rsid w:val="005F701B"/>
    <w:rPr>
      <w:lang w:val="en-US" w:eastAsia="en-US"/>
    </w:rPr>
  </w:style>
  <w:style w:type="paragraph" w:styleId="Tematkomentarza">
    <w:name w:val="annotation subject"/>
    <w:basedOn w:val="Tekstkomentarza"/>
    <w:next w:val="Tekstkomentarza"/>
    <w:link w:val="TematkomentarzaZnak"/>
    <w:rsid w:val="005F701B"/>
    <w:rPr>
      <w:b/>
      <w:bCs/>
    </w:rPr>
  </w:style>
  <w:style w:type="character" w:customStyle="1" w:styleId="TematkomentarzaZnak">
    <w:name w:val="Temat komentarza Znak"/>
    <w:basedOn w:val="TekstkomentarzaZnak"/>
    <w:link w:val="Tematkomentarza"/>
    <w:rsid w:val="005F701B"/>
    <w:rPr>
      <w:b/>
      <w:bCs/>
      <w:lang w:val="en-US" w:eastAsia="en-US"/>
    </w:rPr>
  </w:style>
  <w:style w:type="paragraph" w:styleId="Tekstprzypisudolnego">
    <w:name w:val="footnote text"/>
    <w:basedOn w:val="Normalny"/>
    <w:link w:val="TekstprzypisudolnegoZnak"/>
    <w:semiHidden/>
    <w:unhideWhenUsed/>
    <w:rsid w:val="009161DF"/>
    <w:rPr>
      <w:sz w:val="20"/>
    </w:rPr>
  </w:style>
  <w:style w:type="character" w:customStyle="1" w:styleId="TekstprzypisudolnegoZnak">
    <w:name w:val="Tekst przypisu dolnego Znak"/>
    <w:basedOn w:val="Domylnaczcionkaakapitu"/>
    <w:link w:val="Tekstprzypisudolnego"/>
    <w:semiHidden/>
    <w:rsid w:val="009161DF"/>
    <w:rPr>
      <w:lang w:val="en-US" w:eastAsia="en-US"/>
    </w:rPr>
  </w:style>
  <w:style w:type="character" w:styleId="Odwoanieprzypisudolnego">
    <w:name w:val="footnote reference"/>
    <w:basedOn w:val="Domylnaczcionkaakapitu"/>
    <w:semiHidden/>
    <w:unhideWhenUsed/>
    <w:rsid w:val="009161DF"/>
    <w:rPr>
      <w:vertAlign w:val="superscript"/>
    </w:rPr>
  </w:style>
  <w:style w:type="character" w:styleId="Hipercze">
    <w:name w:val="Hyperlink"/>
    <w:basedOn w:val="Domylnaczcionkaakapitu"/>
    <w:unhideWhenUsed/>
    <w:rsid w:val="009161DF"/>
    <w:rPr>
      <w:color w:val="0000FF" w:themeColor="hyperlink"/>
      <w:u w:val="single"/>
    </w:rPr>
  </w:style>
  <w:style w:type="character" w:styleId="Nierozpoznanawzmianka">
    <w:name w:val="Unresolved Mention"/>
    <w:basedOn w:val="Domylnaczcionkaakapitu"/>
    <w:uiPriority w:val="99"/>
    <w:semiHidden/>
    <w:unhideWhenUsed/>
    <w:rsid w:val="009161DF"/>
    <w:rPr>
      <w:color w:val="605E5C"/>
      <w:shd w:val="clear" w:color="auto" w:fill="E1DFDD"/>
    </w:rPr>
  </w:style>
  <w:style w:type="character" w:styleId="UyteHipercze">
    <w:name w:val="FollowedHyperlink"/>
    <w:basedOn w:val="Domylnaczcionkaakapitu"/>
    <w:semiHidden/>
    <w:unhideWhenUsed/>
    <w:rsid w:val="00EA4357"/>
    <w:rPr>
      <w:color w:val="800080" w:themeColor="followedHyperlink"/>
      <w:u w:val="single"/>
    </w:rPr>
  </w:style>
  <w:style w:type="character" w:customStyle="1" w:styleId="Nagwek3Znak">
    <w:name w:val="Nagłówek 3 Znak"/>
    <w:basedOn w:val="Domylnaczcionkaakapitu"/>
    <w:link w:val="Nagwek3"/>
    <w:semiHidden/>
    <w:rsid w:val="00BE70AC"/>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78920">
      <w:bodyDiv w:val="1"/>
      <w:marLeft w:val="0"/>
      <w:marRight w:val="0"/>
      <w:marTop w:val="0"/>
      <w:marBottom w:val="0"/>
      <w:divBdr>
        <w:top w:val="none" w:sz="0" w:space="0" w:color="auto"/>
        <w:left w:val="none" w:sz="0" w:space="0" w:color="auto"/>
        <w:bottom w:val="none" w:sz="0" w:space="0" w:color="auto"/>
        <w:right w:val="none" w:sz="0" w:space="0" w:color="auto"/>
      </w:divBdr>
    </w:div>
    <w:div w:id="2000306502">
      <w:bodyDiv w:val="1"/>
      <w:marLeft w:val="0"/>
      <w:marRight w:val="0"/>
      <w:marTop w:val="0"/>
      <w:marBottom w:val="0"/>
      <w:divBdr>
        <w:top w:val="none" w:sz="0" w:space="0" w:color="auto"/>
        <w:left w:val="none" w:sz="0" w:space="0" w:color="auto"/>
        <w:bottom w:val="none" w:sz="0" w:space="0" w:color="auto"/>
        <w:right w:val="none" w:sz="0" w:space="0" w:color="auto"/>
      </w:divBdr>
    </w:div>
    <w:div w:id="20949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SZLENDMA\Application%20Data\Microsoft\Templates\Nestle_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688744A584D748A0EBD1A0799258B9" ma:contentTypeVersion="1" ma:contentTypeDescription="Utwórz nowy dokument." ma:contentTypeScope="" ma:versionID="4fd1c74cb7ce6ac891279a52e4c81a16">
  <xsd:schema xmlns:xsd="http://www.w3.org/2001/XMLSchema" xmlns:xs="http://www.w3.org/2001/XMLSchema" xmlns:p="http://schemas.microsoft.com/office/2006/metadata/properties" xmlns:ns1="http://schemas.microsoft.com/sharepoint/v3" xmlns:ns2="5673dd66-2589-4bf1-92bc-cf03fc6391d1" targetNamespace="http://schemas.microsoft.com/office/2006/metadata/properties" ma:root="true" ma:fieldsID="1ea272f1917a355a0fea717b6f67d3a7" ns1:_="" ns2:_="">
    <xsd:import namespace="http://schemas.microsoft.com/sharepoint/v3"/>
    <xsd:import namespace="5673dd66-2589-4bf1-92bc-cf03fc6391d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owana data rozpoczęcia" ma:description="" ma:hidden="true" ma:internalName="PublishingStartDate">
      <xsd:simpleType>
        <xsd:restriction base="dms:Unknown"/>
      </xsd:simpleType>
    </xsd:element>
    <xsd:element name="PublishingExpirationDate" ma:index="12" nillable="true" ma:displayName="Planowana data zakończeni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3dd66-2589-4bf1-92bc-cf03fc6391d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5673dd66-2589-4bf1-92bc-cf03fc6391d1">MPKQHKKRKAYT-6-8</_dlc_DocId>
    <_dlc_DocIdUrl xmlns="5673dd66-2589-4bf1-92bc-cf03fc6391d1">
      <Url>http://thenest-eur-pl.nestle.com/new-day/_layouts/DocIdRedir.aspx?ID=MPKQHKKRKAYT-6-8</Url>
      <Description>MPKQHKKRKAYT-6-8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1EA9-706E-4D72-8A8F-403618F9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73dd66-2589-4bf1-92bc-cf03fc639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E3271-FC08-4AD4-A00D-DB9BC047D2FA}">
  <ds:schemaRefs>
    <ds:schemaRef ds:uri="http://schemas.microsoft.com/office/2006/metadata/properties"/>
    <ds:schemaRef ds:uri="http://schemas.microsoft.com/office/infopath/2007/PartnerControls"/>
    <ds:schemaRef ds:uri="http://schemas.microsoft.com/sharepoint/v3"/>
    <ds:schemaRef ds:uri="5673dd66-2589-4bf1-92bc-cf03fc6391d1"/>
  </ds:schemaRefs>
</ds:datastoreItem>
</file>

<file path=customXml/itemProps3.xml><?xml version="1.0" encoding="utf-8"?>
<ds:datastoreItem xmlns:ds="http://schemas.openxmlformats.org/officeDocument/2006/customXml" ds:itemID="{F8FC57EC-0020-4B6B-BD9F-C58446A6121F}">
  <ds:schemaRefs>
    <ds:schemaRef ds:uri="http://schemas.microsoft.com/sharepoint/v3/contenttype/forms"/>
  </ds:schemaRefs>
</ds:datastoreItem>
</file>

<file path=customXml/itemProps4.xml><?xml version="1.0" encoding="utf-8"?>
<ds:datastoreItem xmlns:ds="http://schemas.openxmlformats.org/officeDocument/2006/customXml" ds:itemID="{C4B7B884-EA55-4C36-9877-93DD2F64002D}">
  <ds:schemaRefs>
    <ds:schemaRef ds:uri="http://schemas.microsoft.com/sharepoint/events"/>
  </ds:schemaRefs>
</ds:datastoreItem>
</file>

<file path=customXml/itemProps5.xml><?xml version="1.0" encoding="utf-8"?>
<ds:datastoreItem xmlns:ds="http://schemas.openxmlformats.org/officeDocument/2006/customXml" ds:itemID="{B1845ACF-09A7-4D6C-8663-C17AEF2B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Nestle_let</Template>
  <TotalTime>2</TotalTime>
  <Pages>2</Pages>
  <Words>609</Words>
  <Characters>3655</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Winiary letter template</vt:lpstr>
      <vt:lpstr>Winiary letter template</vt:lpstr>
    </vt:vector>
  </TitlesOfParts>
  <Company>Nestlé</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Winiary letter template</dc:title>
  <dc:creator>PLKROLPR</dc:creator>
  <cp:lastModifiedBy>Szpatowicz,Joanna,WARSZAWA,Public Relations</cp:lastModifiedBy>
  <cp:revision>5</cp:revision>
  <cp:lastPrinted>2020-07-14T15:36:00Z</cp:lastPrinted>
  <dcterms:created xsi:type="dcterms:W3CDTF">2020-07-21T14:34:00Z</dcterms:created>
  <dcterms:modified xsi:type="dcterms:W3CDTF">2020-07-24T06:21:00Z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6604faa2-e6f0-4a3d-816f-ccaa63c7afdb</vt:lpwstr>
  </property>
  <property fmtid="{D5CDD505-2E9C-101B-9397-08002B2CF9AE}" pid="3" name="ContentTypeId">
    <vt:lpwstr>0x0101002F688744A584D748A0EBD1A0799258B9</vt:lpwstr>
  </property>
  <property fmtid="{D5CDD505-2E9C-101B-9397-08002B2CF9AE}" pid="4" name="MSIP_Label_1ada0a2f-b917-4d51-b0d0-d418a10c8b23_Enabled">
    <vt:lpwstr>True</vt:lpwstr>
  </property>
  <property fmtid="{D5CDD505-2E9C-101B-9397-08002B2CF9AE}" pid="5" name="MSIP_Label_1ada0a2f-b917-4d51-b0d0-d418a10c8b23_SiteId">
    <vt:lpwstr>12a3af23-a769-4654-847f-958f3d479f4a</vt:lpwstr>
  </property>
  <property fmtid="{D5CDD505-2E9C-101B-9397-08002B2CF9AE}" pid="6" name="MSIP_Label_1ada0a2f-b917-4d51-b0d0-d418a10c8b23_Owner">
    <vt:lpwstr>Agnieszka.Bienko@PL.nestle.com</vt:lpwstr>
  </property>
  <property fmtid="{D5CDD505-2E9C-101B-9397-08002B2CF9AE}" pid="7" name="MSIP_Label_1ada0a2f-b917-4d51-b0d0-d418a10c8b23_SetDate">
    <vt:lpwstr>2020-01-07T15:11:23.9280324Z</vt:lpwstr>
  </property>
  <property fmtid="{D5CDD505-2E9C-101B-9397-08002B2CF9AE}" pid="8" name="MSIP_Label_1ada0a2f-b917-4d51-b0d0-d418a10c8b23_Name">
    <vt:lpwstr>General Use</vt:lpwstr>
  </property>
  <property fmtid="{D5CDD505-2E9C-101B-9397-08002B2CF9AE}" pid="9" name="MSIP_Label_1ada0a2f-b917-4d51-b0d0-d418a10c8b23_Application">
    <vt:lpwstr>Microsoft Azure Information Protection</vt:lpwstr>
  </property>
  <property fmtid="{D5CDD505-2E9C-101B-9397-08002B2CF9AE}" pid="10" name="MSIP_Label_1ada0a2f-b917-4d51-b0d0-d418a10c8b23_ActionId">
    <vt:lpwstr>51afe982-a5b0-41a9-883f-d53aa2c04b3f</vt:lpwstr>
  </property>
  <property fmtid="{D5CDD505-2E9C-101B-9397-08002B2CF9AE}" pid="11" name="MSIP_Label_1ada0a2f-b917-4d51-b0d0-d418a10c8b23_Extended_MSFT_Method">
    <vt:lpwstr>Automatic</vt:lpwstr>
  </property>
  <property fmtid="{D5CDD505-2E9C-101B-9397-08002B2CF9AE}" pid="12" name="Sensitivity">
    <vt:lpwstr>General Use</vt:lpwstr>
  </property>
</Properties>
</file>